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467AC">
      <w:pPr>
        <w:spacing w:line="1495" w:lineRule="exact"/>
        <w:jc w:val="distribute"/>
        <w:rPr>
          <w:rFonts w:ascii="方正小标宋简体" w:eastAsia="方正小标宋简体"/>
          <w:w w:val="55"/>
          <w:sz w:val="124"/>
          <w:szCs w:val="124"/>
          <w:lang w:eastAsia="zh-CN"/>
        </w:rPr>
      </w:pPr>
      <w:r>
        <w:rPr>
          <w:rFonts w:hint="eastAsia" w:ascii="方正小标宋简体" w:eastAsia="方正小标宋简体"/>
          <w:color w:val="FF0000"/>
          <w:w w:val="55"/>
          <w:sz w:val="124"/>
          <w:szCs w:val="124"/>
          <w:lang w:eastAsia="zh-CN"/>
        </w:rPr>
        <w:t>浙江省之江教育信息化研究院</w:t>
      </w:r>
    </w:p>
    <w:p w14:paraId="6E77B7C6">
      <w:pPr>
        <w:pStyle w:val="5"/>
        <w:spacing w:before="546"/>
        <w:jc w:val="center"/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179705</wp:posOffset>
                </wp:positionV>
                <wp:extent cx="5578475" cy="1270"/>
                <wp:effectExtent l="0" t="19050" r="3175" b="36830"/>
                <wp:wrapTopAndBottom/>
                <wp:docPr id="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847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y;margin-left:3pt;margin-top:14.15pt;height:0.1pt;width:439.25pt;mso-position-horizontal-relative:margin;mso-wrap-distance-bottom:0pt;mso-wrap-distance-top:0pt;z-index:251660288;mso-width-relative:page;mso-height-relative:page;" filled="f" stroked="t" coordsize="21600,21600" o:gfxdata="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+xLJ9cAAAAHAQAA&#10;DwAAAAAAAAABACAAAAAiAAAAZHJzL2Rvd25yZXYueG1sUEsBAhQAFAAAAAgAh07iQJRayojhAQAA&#10;xgMAAA4AAAAAAAAAAQAgAAAAJgEAAGRycy9lMm9Eb2MueG1sUEsFBgAAAAAGAAYAWQEAAHkFAAAA&#10;AA=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  <w:t>邀请函</w:t>
      </w:r>
    </w:p>
    <w:p w14:paraId="63CD1C49">
      <w:pPr>
        <w:rPr>
          <w:rFonts w:hint="eastAsia" w:ascii="仿宋_GB2312" w:hAnsi="仿宋" w:eastAsia="仿宋_GB2312" w:cs="宋体"/>
          <w:bCs/>
          <w:sz w:val="32"/>
          <w:szCs w:val="32"/>
        </w:rPr>
      </w:pPr>
    </w:p>
    <w:p w14:paraId="1A054E6B">
      <w:pPr>
        <w:rPr>
          <w:rFonts w:ascii="仿宋_GB2312" w:hAnsi="Calibri" w:eastAsia="仿宋_GB2312" w:cs="宋体"/>
          <w:szCs w:val="21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各设区市教育技术中心：</w:t>
      </w:r>
    </w:p>
    <w:p w14:paraId="1580E45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国家“人工智能+”行动战略部署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积极响应教育部实施的人工智能赋能教育行动</w:t>
      </w:r>
      <w:r>
        <w:rPr>
          <w:rFonts w:ascii="Times New Roman" w:hAnsi="Times New Roman" w:eastAsia="仿宋_GB2312" w:cs="Times New Roman"/>
          <w:sz w:val="32"/>
          <w:szCs w:val="32"/>
        </w:rPr>
        <w:t>，进一步创新机制、集聚力量、整合资源，统筹发挥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、学校、企业等各自优势，全面深化人工智能赋能教育，切实提高人工智能人才培养质量。省教育厅的指导推动下，10月11日举办的2024年教育装备创新大会上浙江省教育技术中心联合浙江大学、浙江师范大学等7所高校和科大讯飞股份有限公司、阿里云计算有限公司等8家科技企业发起组建“人工智能+教育”产学研联盟</w:t>
      </w:r>
      <w:r>
        <w:rPr>
          <w:rFonts w:ascii="Times New Roman" w:hAnsi="Times New Roman" w:eastAsia="仿宋_GB2312" w:cs="Times New Roman"/>
          <w:sz w:val="32"/>
          <w:szCs w:val="32"/>
        </w:rPr>
        <w:t>（建设方案附后）。</w:t>
      </w:r>
    </w:p>
    <w:p w14:paraId="79E039D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浙江省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之江教育信息化研究院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拟联合“人工智能+教育”产学研联盟共同推进浙江省“人工智能+教育”工作，通过专委会和研究中心开展人工智能方向的研究。</w:t>
      </w:r>
      <w:r>
        <w:rPr>
          <w:rFonts w:ascii="Times New Roman" w:hAnsi="Times New Roman" w:eastAsia="仿宋_GB2312" w:cs="Times New Roman"/>
          <w:sz w:val="32"/>
          <w:szCs w:val="32"/>
        </w:rPr>
        <w:t>现邀请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贵单位或者所辖县（市、区）教育技术部门、中小学校</w:t>
      </w:r>
      <w:r>
        <w:rPr>
          <w:rFonts w:ascii="Times New Roman" w:hAnsi="Times New Roman" w:eastAsia="仿宋_GB2312" w:cs="Times New Roman"/>
          <w:sz w:val="32"/>
          <w:szCs w:val="32"/>
        </w:rPr>
        <w:t>加入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专委会/研究中心相应的研究方向</w:t>
      </w:r>
      <w:r>
        <w:rPr>
          <w:rFonts w:hint="eastAsia" w:ascii="仿宋_GB2312" w:hAnsi="仿宋" w:eastAsia="仿宋_GB2312" w:cs="宋体"/>
          <w:color w:val="161616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161616"/>
          <w:kern w:val="0"/>
          <w:sz w:val="32"/>
          <w:szCs w:val="32"/>
        </w:rPr>
        <w:t>共同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人工智能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教育持续深入开展。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请于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15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日前组织完成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申请表工作，并将信息登记表、汇总表发送至邮箱huangyz20241024@163.com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2B0180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浙江省教育技术中心 黄一展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0571-88277051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 w14:paraId="25C3C800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专委会（研究中心）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申请表</w:t>
      </w:r>
      <w:bookmarkStart w:id="0" w:name="_Hlk179809330"/>
    </w:p>
    <w:p w14:paraId="439863A8">
      <w:pPr>
        <w:widowControl/>
        <w:spacing w:line="60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2.专委会（研究中心）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成员单位信息登记表</w:t>
      </w:r>
      <w:bookmarkEnd w:id="0"/>
    </w:p>
    <w:p w14:paraId="1F4622D4">
      <w:pPr>
        <w:widowControl/>
        <w:spacing w:line="60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3.专委会（研究中心）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成员单位信息汇总表</w:t>
      </w:r>
    </w:p>
    <w:p w14:paraId="2B13B89A">
      <w:pPr>
        <w:widowControl/>
        <w:spacing w:line="60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“人工智能+教育”产学研联盟建设方案</w:t>
      </w:r>
    </w:p>
    <w:p w14:paraId="13B24DF7"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AC759B4"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浙江省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之江教育信息化研究院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p w14:paraId="28817F63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</w:t>
      </w:r>
    </w:p>
    <w:p w14:paraId="1BD24EB6">
      <w:pPr>
        <w:rPr>
          <w:rFonts w:hint="eastAsia" w:ascii="仿宋_GB2312" w:hAnsi="仿宋" w:eastAsia="仿宋_GB2312" w:cs="宋体"/>
          <w:bCs/>
          <w:color w:val="161616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161616"/>
          <w:kern w:val="0"/>
          <w:sz w:val="32"/>
          <w:szCs w:val="32"/>
        </w:rPr>
        <w:br w:type="page"/>
      </w:r>
    </w:p>
    <w:p w14:paraId="0F803A35">
      <w:pPr>
        <w:widowControl/>
        <w:shd w:val="clear" w:color="auto" w:fill="FFFFFF"/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  <w:t>附件1</w:t>
      </w:r>
    </w:p>
    <w:p w14:paraId="13445F59">
      <w:pPr>
        <w:widowControl/>
        <w:shd w:val="clear" w:color="auto" w:fill="FFFFFF"/>
        <w:rPr>
          <w:rFonts w:hint="eastAsia" w:ascii="仿宋_GB2312" w:hAnsi="仿宋" w:eastAsia="仿宋_GB2312" w:cs="宋体"/>
          <w:bCs/>
          <w:color w:val="161616"/>
          <w:kern w:val="0"/>
          <w:sz w:val="32"/>
          <w:szCs w:val="32"/>
        </w:rPr>
      </w:pPr>
    </w:p>
    <w:p w14:paraId="65CAFF03">
      <w:pPr>
        <w:widowControl/>
        <w:shd w:val="clear" w:color="auto" w:fill="FFFFFF"/>
        <w:ind w:firstLine="440" w:firstLineChars="100"/>
        <w:jc w:val="center"/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  <w:lang w:val="en-US" w:eastAsia="zh-CN"/>
        </w:rPr>
        <w:t>专委会（研究中心）加入申请表</w:t>
      </w:r>
    </w:p>
    <w:p w14:paraId="14C07BE7">
      <w:pPr>
        <w:spacing w:line="360" w:lineRule="auto"/>
        <w:jc w:val="right"/>
        <w:rPr>
          <w:rFonts w:hint="eastAsia" w:ascii="仿宋" w:hAnsi="仿宋" w:eastAsia="仿宋" w:cs="黑体"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z w:val="24"/>
          <w:szCs w:val="24"/>
        </w:rPr>
        <w:t>填表日期：</w:t>
      </w:r>
      <w:r>
        <w:rPr>
          <w:rFonts w:hint="eastAsia" w:ascii="仿宋" w:hAnsi="仿宋" w:eastAsia="仿宋" w:cs="黑体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黑体"/>
          <w:color w:val="000000"/>
          <w:sz w:val="24"/>
          <w:szCs w:val="24"/>
        </w:rPr>
        <w:t>年</w:t>
      </w:r>
      <w:r>
        <w:rPr>
          <w:rFonts w:hint="eastAsia" w:ascii="仿宋" w:hAnsi="仿宋" w:eastAsia="仿宋" w:cs="黑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黑体"/>
          <w:color w:val="000000"/>
          <w:sz w:val="24"/>
          <w:szCs w:val="24"/>
        </w:rPr>
        <w:t>月</w:t>
      </w:r>
      <w:r>
        <w:rPr>
          <w:rFonts w:hint="eastAsia" w:ascii="仿宋" w:hAnsi="仿宋" w:eastAsia="仿宋" w:cs="黑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黑体"/>
          <w:color w:val="000000"/>
          <w:sz w:val="24"/>
          <w:szCs w:val="24"/>
        </w:rPr>
        <w:t>日</w:t>
      </w:r>
    </w:p>
    <w:tbl>
      <w:tblPr>
        <w:tblStyle w:val="10"/>
        <w:tblW w:w="99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556"/>
        <w:gridCol w:w="1560"/>
        <w:gridCol w:w="4328"/>
      </w:tblGrid>
      <w:tr w14:paraId="141C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6D415407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444" w:type="dxa"/>
            <w:gridSpan w:val="3"/>
            <w:vAlign w:val="center"/>
          </w:tcPr>
          <w:p w14:paraId="73821BDF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宁波市第三中学</w:t>
            </w:r>
          </w:p>
        </w:tc>
      </w:tr>
      <w:tr w14:paraId="477AF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16172069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444" w:type="dxa"/>
            <w:gridSpan w:val="3"/>
            <w:vAlign w:val="center"/>
          </w:tcPr>
          <w:p w14:paraId="5F37CC1E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浙江省宁波市鄞州区</w:t>
            </w:r>
          </w:p>
        </w:tc>
      </w:tr>
      <w:tr w14:paraId="59621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03EC03DC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8444" w:type="dxa"/>
            <w:gridSpan w:val="3"/>
            <w:vAlign w:val="center"/>
          </w:tcPr>
          <w:p w14:paraId="449EA0BF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企业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行业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协会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其他</w:t>
            </w:r>
          </w:p>
        </w:tc>
      </w:tr>
      <w:tr w14:paraId="0D21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257D53F2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主要业务</w:t>
            </w:r>
          </w:p>
        </w:tc>
        <w:tc>
          <w:tcPr>
            <w:tcW w:w="8444" w:type="dxa"/>
            <w:gridSpan w:val="3"/>
            <w:vAlign w:val="center"/>
          </w:tcPr>
          <w:p w14:paraId="2C27C7E2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全日制普通高中</w:t>
            </w:r>
          </w:p>
        </w:tc>
      </w:tr>
      <w:tr w14:paraId="6253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1518" w:type="dxa"/>
            <w:vAlign w:val="center"/>
          </w:tcPr>
          <w:p w14:paraId="516A7970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希望加入的专委会/研究中心</w:t>
            </w:r>
          </w:p>
        </w:tc>
        <w:tc>
          <w:tcPr>
            <w:tcW w:w="8444" w:type="dxa"/>
            <w:gridSpan w:val="3"/>
            <w:vAlign w:val="center"/>
          </w:tcPr>
          <w:p w14:paraId="27CE3C43">
            <w:pPr>
              <w:spacing w:line="360" w:lineRule="auto"/>
              <w:jc w:val="both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教育专用大模型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元宇宙专委会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AI评估应用研究中心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</w:p>
          <w:p w14:paraId="02FE555E">
            <w:pPr>
              <w:spacing w:line="360" w:lineRule="auto"/>
              <w:jc w:val="both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学科大模型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大模型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机器人专委会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算力基础设施专委会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</w:p>
          <w:p w14:paraId="24C4E773">
            <w:pPr>
              <w:spacing w:line="360" w:lineRule="auto"/>
              <w:jc w:val="both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智能体专委会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 w14:paraId="46890CED">
            <w:pPr>
              <w:spacing w:line="360" w:lineRule="auto"/>
              <w:jc w:val="both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100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63263283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556" w:type="dxa"/>
            <w:vAlign w:val="center"/>
          </w:tcPr>
          <w:p w14:paraId="38F2BB31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韩金焕</w:t>
            </w:r>
          </w:p>
        </w:tc>
        <w:tc>
          <w:tcPr>
            <w:tcW w:w="1560" w:type="dxa"/>
            <w:vAlign w:val="center"/>
          </w:tcPr>
          <w:p w14:paraId="09EC8633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328" w:type="dxa"/>
            <w:vAlign w:val="center"/>
          </w:tcPr>
          <w:p w14:paraId="742CD2DF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15557899509</w:t>
            </w:r>
          </w:p>
        </w:tc>
      </w:tr>
      <w:tr w14:paraId="225F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387B183D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56" w:type="dxa"/>
            <w:vAlign w:val="center"/>
          </w:tcPr>
          <w:p w14:paraId="106712DC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173090381@qq.com</w:t>
            </w:r>
          </w:p>
        </w:tc>
        <w:tc>
          <w:tcPr>
            <w:tcW w:w="1560" w:type="dxa"/>
            <w:vAlign w:val="center"/>
          </w:tcPr>
          <w:p w14:paraId="7475EB94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单位网址</w:t>
            </w:r>
          </w:p>
        </w:tc>
        <w:tc>
          <w:tcPr>
            <w:tcW w:w="4328" w:type="dxa"/>
            <w:vAlign w:val="center"/>
          </w:tcPr>
          <w:p w14:paraId="371360CB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www.nbsz.com</w:t>
            </w:r>
          </w:p>
        </w:tc>
      </w:tr>
      <w:tr w14:paraId="7199F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8" w:type="dxa"/>
            <w:vAlign w:val="center"/>
          </w:tcPr>
          <w:p w14:paraId="3743DC20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8444" w:type="dxa"/>
            <w:gridSpan w:val="3"/>
            <w:vAlign w:val="center"/>
          </w:tcPr>
          <w:p w14:paraId="43753BA2">
            <w:pPr>
              <w:spacing w:line="360" w:lineRule="auto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宁波市教育服务与电化教育中心</w:t>
            </w:r>
          </w:p>
        </w:tc>
      </w:tr>
      <w:tr w14:paraId="17DE7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518" w:type="dxa"/>
            <w:vAlign w:val="center"/>
          </w:tcPr>
          <w:p w14:paraId="723D17B4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8444" w:type="dxa"/>
            <w:gridSpan w:val="3"/>
            <w:vAlign w:val="center"/>
          </w:tcPr>
          <w:p w14:paraId="204A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宁波市第三中学创办于1868年，经历了七易校名、九迁校址，是宁波市历史最为悠久、最负盛名的学校之一。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150余年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的办学历史使学校积聚了深厚的文化底蕴和脉脉的人文情怀。中科院院长路甬祥，中科院院士、“断肢再植之父”陈中伟，中国工程院院士陈亚珠和孙儒泳，世界“钨电极女皇”王菊珍等是其中的优秀代表。</w:t>
            </w:r>
          </w:p>
          <w:p w14:paraId="4612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实行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党组织领导的校长负责制，坚守“崇真 尚美 致和”的办学理念，以“各美其美 美人之美 和融致美”为目标，推动学校高质量发展，努力建设一流特色高中，培养“崇学尚道 智慧阳光”的新时代人才。</w:t>
            </w:r>
          </w:p>
          <w:p w14:paraId="1E43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校开创“一体两翼两支撑”五位一体的高品质办学模式，“一体”即是为全体学生的未来升学做准备，为未来的人生做准备的“全人”教育；“两翼”即国际教育和艺体特长教育——国际教育指学校以德语课程实验班为主的出国留学项目；艺体特长教育指面向美术班学生、小球特长生的专业教育和面向全校学生的艺术体育素养提升教育。“两支撑”即融合教育和智慧教育。</w:t>
            </w:r>
          </w:p>
          <w:p w14:paraId="0777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校拥有全国特色学校、国家级中德塑造未来示范项目学校、浙江省一级重点中学、浙江省普通高中一级特色示范学校、浙江省首批依法治校先进集体、浙江省美术特色学校、浙江省教科研先进集体等多项荣誉称号。</w:t>
            </w:r>
          </w:p>
          <w:p w14:paraId="1B236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  <w:t>学校一贯重视机器人及人工智能教育的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师资培养与</w:t>
            </w:r>
            <w:r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  <w:t>经费投入，我校朱军老师是机器人人工智能国家级裁判员，同时也是宁波市宁波市科协教育机器人专业委员会主任，赵成华老师是市科协教育机器人专业委员副秘书长，有着十多年的机器人教育教学经验,曾获浙江省教育机器人教师教学技能展演第一名。已累计投入百万元，并坚持对人工智能教育的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持续</w:t>
            </w:r>
            <w:r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，成为了</w:t>
            </w:r>
            <w:r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  <w:t>教育局装备中心人工智能教育投入最多的学校之一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16A80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exact"/>
        </w:trPr>
        <w:tc>
          <w:tcPr>
            <w:tcW w:w="1518" w:type="dxa"/>
            <w:vAlign w:val="center"/>
          </w:tcPr>
          <w:p w14:paraId="6F490E47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申请单位</w:t>
            </w:r>
          </w:p>
          <w:p w14:paraId="2F0EB67E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44" w:type="dxa"/>
            <w:gridSpan w:val="3"/>
            <w:vAlign w:val="bottom"/>
          </w:tcPr>
          <w:p w14:paraId="37A1F5B1">
            <w:pPr>
              <w:spacing w:line="360" w:lineRule="auto"/>
              <w:jc w:val="left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</w:p>
          <w:p w14:paraId="319C2A25">
            <w:pPr>
              <w:spacing w:line="360" w:lineRule="auto"/>
              <w:jc w:val="left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申请加入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 w:eastAsia="zh-CN"/>
              </w:rPr>
              <w:t>专委会（研究中心）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。</w:t>
            </w:r>
          </w:p>
          <w:p w14:paraId="66F5B734">
            <w:pPr>
              <w:spacing w:line="360" w:lineRule="auto"/>
              <w:jc w:val="left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</w:p>
          <w:p w14:paraId="7A05F55F">
            <w:pPr>
              <w:spacing w:line="360" w:lineRule="auto"/>
              <w:ind w:right="600" w:firstLine="4680" w:firstLineChars="1950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单位（盖章）：</w:t>
            </w:r>
          </w:p>
          <w:p w14:paraId="02C331DE">
            <w:pPr>
              <w:spacing w:line="360" w:lineRule="auto"/>
              <w:ind w:right="600" w:firstLine="6000" w:firstLineChars="2500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年   月   日</w:t>
            </w:r>
          </w:p>
        </w:tc>
      </w:tr>
      <w:tr w14:paraId="06587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exact"/>
        </w:trPr>
        <w:tc>
          <w:tcPr>
            <w:tcW w:w="1518" w:type="dxa"/>
            <w:vAlign w:val="center"/>
          </w:tcPr>
          <w:p w14:paraId="2F5111D4">
            <w:pPr>
              <w:spacing w:line="360" w:lineRule="auto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联盟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>理事会意见</w:t>
            </w:r>
          </w:p>
        </w:tc>
        <w:tc>
          <w:tcPr>
            <w:tcW w:w="8444" w:type="dxa"/>
            <w:gridSpan w:val="3"/>
            <w:vAlign w:val="center"/>
          </w:tcPr>
          <w:p w14:paraId="57C09C36">
            <w:pPr>
              <w:spacing w:line="360" w:lineRule="auto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</w:p>
          <w:p w14:paraId="0108071B">
            <w:pPr>
              <w:spacing w:line="360" w:lineRule="auto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</w:p>
          <w:p w14:paraId="2655EDDD">
            <w:pPr>
              <w:spacing w:line="360" w:lineRule="auto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</w:p>
          <w:p w14:paraId="3DA3BC52">
            <w:pPr>
              <w:spacing w:line="360" w:lineRule="auto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                                      签字：</w:t>
            </w:r>
          </w:p>
          <w:p w14:paraId="7C97CEFA">
            <w:pPr>
              <w:spacing w:line="360" w:lineRule="auto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" w:hAnsi="仿宋" w:eastAsia="仿宋" w:cs="黑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35C06A3F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（备注：贵单位如果没有推荐单位，请在申请单位意见栏处“无”。）    </w:t>
      </w:r>
    </w:p>
    <w:p w14:paraId="7ACB7A3B">
      <w:pPr>
        <w:rPr>
          <w:rFonts w:hint="eastAsia" w:ascii="仿宋_GB2312" w:hAnsi="仿宋" w:eastAsia="仿宋_GB2312" w:cs="宋体"/>
          <w:bCs/>
          <w:color w:val="161616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161616"/>
          <w:kern w:val="0"/>
          <w:sz w:val="32"/>
          <w:szCs w:val="32"/>
        </w:rPr>
        <w:br w:type="page"/>
      </w:r>
      <w:bookmarkStart w:id="4" w:name="_GoBack"/>
      <w:bookmarkEnd w:id="4"/>
    </w:p>
    <w:p w14:paraId="2E259031">
      <w:pPr>
        <w:widowControl/>
        <w:shd w:val="clear" w:color="auto" w:fill="FFFFFF"/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  <w:t>附件2</w:t>
      </w:r>
    </w:p>
    <w:p w14:paraId="7F2F9134">
      <w:pPr>
        <w:widowControl/>
        <w:shd w:val="clear" w:color="auto" w:fill="FFFFFF"/>
        <w:spacing w:line="240" w:lineRule="exact"/>
        <w:rPr>
          <w:rFonts w:hint="eastAsia" w:ascii="仿宋_GB2312" w:hAnsi="仿宋" w:eastAsia="仿宋_GB2312" w:cs="宋体"/>
          <w:bCs/>
          <w:color w:val="161616"/>
          <w:kern w:val="0"/>
          <w:sz w:val="36"/>
          <w:szCs w:val="36"/>
        </w:rPr>
      </w:pPr>
    </w:p>
    <w:p w14:paraId="31395487">
      <w:pPr>
        <w:widowControl/>
        <w:shd w:val="clear" w:color="auto" w:fill="FFFFFF"/>
        <w:ind w:firstLine="440" w:firstLineChars="100"/>
        <w:jc w:val="center"/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  <w:lang w:val="en-US" w:eastAsia="zh-CN"/>
        </w:rPr>
        <w:t>专委会（研究中心）</w:t>
      </w:r>
      <w:r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  <w:t>成员单位信息登记表</w:t>
      </w:r>
    </w:p>
    <w:tbl>
      <w:tblPr>
        <w:tblStyle w:val="10"/>
        <w:tblpPr w:leftFromText="180" w:rightFromText="180" w:vertAnchor="text" w:horzAnchor="page" w:tblpX="1620" w:tblpY="239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50"/>
        <w:gridCol w:w="1561"/>
        <w:gridCol w:w="851"/>
        <w:gridCol w:w="1559"/>
        <w:gridCol w:w="851"/>
        <w:gridCol w:w="1842"/>
      </w:tblGrid>
      <w:tr w14:paraId="1230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</w:tcPr>
          <w:p w14:paraId="5657AD61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单位基本信息</w:t>
            </w:r>
          </w:p>
        </w:tc>
      </w:tr>
      <w:tr w14:paraId="2743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</w:tcPr>
          <w:p w14:paraId="5016DCEE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单位（部门）全称</w:t>
            </w:r>
          </w:p>
        </w:tc>
        <w:tc>
          <w:tcPr>
            <w:tcW w:w="6664" w:type="dxa"/>
            <w:gridSpan w:val="5"/>
          </w:tcPr>
          <w:p w14:paraId="4587464D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宁波市第三中学</w:t>
            </w:r>
          </w:p>
        </w:tc>
      </w:tr>
      <w:tr w14:paraId="6107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</w:tcPr>
          <w:p w14:paraId="115971D4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6664" w:type="dxa"/>
            <w:gridSpan w:val="5"/>
            <w:vAlign w:val="center"/>
          </w:tcPr>
          <w:p w14:paraId="20CD8E56">
            <w:pPr>
              <w:rPr>
                <w:rFonts w:hint="default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宁波市教育局</w:t>
            </w:r>
          </w:p>
        </w:tc>
      </w:tr>
      <w:tr w14:paraId="1C62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</w:tcPr>
          <w:p w14:paraId="7461BDD3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5"/>
          </w:tcPr>
          <w:p w14:paraId="1EB19FD4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浙江省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省（自治区）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宁波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鄞州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区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</w:t>
            </w:r>
          </w:p>
        </w:tc>
      </w:tr>
      <w:tr w14:paraId="1F1F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5C67237B">
            <w:pPr>
              <w:jc w:val="center"/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  <w:t>单位代表</w:t>
            </w:r>
          </w:p>
        </w:tc>
        <w:tc>
          <w:tcPr>
            <w:tcW w:w="850" w:type="dxa"/>
          </w:tcPr>
          <w:p w14:paraId="24780DD4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1" w:type="dxa"/>
          </w:tcPr>
          <w:p w14:paraId="7B8DAC3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夏炳</w:t>
            </w:r>
          </w:p>
        </w:tc>
        <w:tc>
          <w:tcPr>
            <w:tcW w:w="851" w:type="dxa"/>
          </w:tcPr>
          <w:p w14:paraId="6F39206A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14:paraId="2081F8A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校长</w:t>
            </w:r>
          </w:p>
        </w:tc>
        <w:tc>
          <w:tcPr>
            <w:tcW w:w="851" w:type="dxa"/>
          </w:tcPr>
          <w:p w14:paraId="6AC187C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2" w:type="dxa"/>
          </w:tcPr>
          <w:p w14:paraId="69CE5F5A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13967806587</w:t>
            </w:r>
          </w:p>
        </w:tc>
      </w:tr>
      <w:tr w14:paraId="1C85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2E715FDE">
            <w:pPr>
              <w:jc w:val="center"/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850" w:type="dxa"/>
          </w:tcPr>
          <w:p w14:paraId="2624B346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1" w:type="dxa"/>
          </w:tcPr>
          <w:p w14:paraId="31D28C1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赵成华</w:t>
            </w:r>
          </w:p>
        </w:tc>
        <w:tc>
          <w:tcPr>
            <w:tcW w:w="851" w:type="dxa"/>
          </w:tcPr>
          <w:p w14:paraId="3EFFB60E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14:paraId="43C18706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851" w:type="dxa"/>
          </w:tcPr>
          <w:p w14:paraId="215122F6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2" w:type="dxa"/>
          </w:tcPr>
          <w:p w14:paraId="53A8143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15657859912</w:t>
            </w:r>
          </w:p>
        </w:tc>
      </w:tr>
      <w:tr w14:paraId="6BEE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9214" w:type="dxa"/>
            <w:gridSpan w:val="7"/>
          </w:tcPr>
          <w:p w14:paraId="5CC49962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本单位在人工智能教育领域内的业务开展情况、相关成绩</w:t>
            </w:r>
          </w:p>
          <w:p w14:paraId="3EB4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宁波市第三中学在机器人创新教育和人工智能教育领域已有超过20年的丰富经验。2002年，宁波三中机器人人工智能创新教育创新实验室成立；2015年获评宁波市首批普通高中创新实验室； 2016年获评浙江省第一批创新实验室；2018年被评为省级优秀创新实验室。机器人人工智能创新教育让一批充满智慧的创新人才从这里起步。目前已有近200余人次获得省级、国家级科技创新大奖，多次代表中国斩获国际竞赛奖项。除此之外还获得了“宁波市基础教学成果奖”、“宁波市优秀学生社团”、“省级精品校本课程”、“浙江省科技创新大赛奖项”、“浙江省电脑机器人奖项”、“浙江省电脑制作活动奖项”、“浙江省首届科学玩家奖项”、“科技新苗人才培养计划”等众多荣誉。</w:t>
            </w:r>
          </w:p>
          <w:p w14:paraId="73DD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目前本校每届毕业生，就读一本高校工程技术专业的人数保持在40～50人之间，占我校升入一本高校总人数比例达到40%左右，并有25%左右的该类学生成为研究生。本校的机器人人工智能教育，得到了宁波市人民政府所属相关部门的联合表彰，2018年被冠名为“国家级以上青少年科技竞赛获奖项目”学校。浙江省教育厅及浙江省教科院、教研室、教育技术中心，宁波市教育局及宁波市青少年科技教育协会等单位，也相继授予本校“浙江省第一批创新实验室”“浙江省优秀创新实验室”“浙江省数字教育资源建设与应用示范学校”“宁波市优秀创新实验室”“宁波市教育机器人专业委员会”等荣誉。</w:t>
            </w:r>
          </w:p>
          <w:p w14:paraId="08DE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近年来，学校继续在智慧教育方面不断探索。2023学年，学校引进了极课大数据平台，通过数据采集、建模与分析，实现精准教学。平台帮助教师精准评估学生的学习情况，实施个性化指导，显著提升了教学质量和学生的学习效果。此外，学校在外语教学中引入了AI智能批改系统，大幅提高了作业处理的效率和准确性。这些举措不仅优化了教学过程，还为教师提供了科学的数据支持，使个性化和差异化教学成为可能。</w:t>
            </w:r>
          </w:p>
          <w:p w14:paraId="5340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2024年，宁波三中机器人AI实验室再次升级改造，按照宁波三中人工智能创新教育建设方案要求，与利用科大讯飞的AI技术赋能人工智能教学，利用上海人工智能实验室的浦育平台开源的Openhydra AI教学平台，通过自建服务器的方式开展具有三中特色的AI教育模式。</w:t>
            </w:r>
          </w:p>
          <w:p w14:paraId="7303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人工智能教育已成为宁波市第三中学的一张闪亮名片，学校在这一领域积累了丰富的经验和显著的成果，培养了大批具有创新精神和实践能力的优秀人才。未来，学校将继续发挥自身优势，不断探索和创新，为培养更多新时代的创新科技人才贡献力量。</w:t>
            </w:r>
          </w:p>
        </w:tc>
      </w:tr>
    </w:tbl>
    <w:p w14:paraId="775E2E01">
      <w:pPr>
        <w:spacing w:line="24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1ABBEA20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（备注：每个联盟成员单位须填写一张表。）</w:t>
      </w:r>
      <w:r>
        <w:rPr>
          <w:rFonts w:ascii="仿宋" w:hAnsi="仿宋" w:eastAsia="仿宋"/>
          <w:sz w:val="28"/>
          <w:szCs w:val="28"/>
        </w:rPr>
        <w:br w:type="page"/>
      </w:r>
    </w:p>
    <w:p w14:paraId="4475F904">
      <w:pPr>
        <w:widowControl/>
        <w:jc w:val="left"/>
        <w:rPr>
          <w:rFonts w:hint="eastAsia" w:ascii="方正小标宋简体" w:hAnsi="华文中宋" w:eastAsia="方正小标宋简体"/>
          <w:bCs/>
          <w:sz w:val="44"/>
          <w:szCs w:val="44"/>
        </w:rPr>
        <w:sectPr>
          <w:footerReference r:id="rId3" w:type="default"/>
          <w:pgSz w:w="11906" w:h="16838"/>
          <w:pgMar w:top="1134" w:right="1416" w:bottom="1418" w:left="1560" w:header="851" w:footer="992" w:gutter="0"/>
          <w:pgNumType w:fmt="numberInDash"/>
          <w:cols w:space="425" w:num="1"/>
          <w:docGrid w:type="lines" w:linePitch="312" w:charSpace="0"/>
        </w:sectPr>
      </w:pPr>
    </w:p>
    <w:p w14:paraId="424A0E91">
      <w:pPr>
        <w:widowControl/>
        <w:shd w:val="clear" w:color="auto" w:fill="FFFFFF"/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  <w:t>附件3</w:t>
      </w:r>
    </w:p>
    <w:p w14:paraId="00CF3541">
      <w:pPr>
        <w:widowControl/>
        <w:shd w:val="clear" w:color="auto" w:fill="FFFFFF"/>
        <w:rPr>
          <w:rFonts w:hint="eastAsia" w:ascii="黑体" w:hAnsi="黑体" w:eastAsia="黑体" w:cs="黑体"/>
          <w:bCs/>
          <w:color w:val="161616"/>
          <w:kern w:val="0"/>
          <w:sz w:val="32"/>
          <w:szCs w:val="32"/>
        </w:rPr>
      </w:pPr>
    </w:p>
    <w:p w14:paraId="70A89708">
      <w:pPr>
        <w:widowControl/>
        <w:shd w:val="clear" w:color="auto" w:fill="FFFFFF"/>
        <w:jc w:val="center"/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161616"/>
          <w:kern w:val="0"/>
          <w:sz w:val="44"/>
          <w:szCs w:val="44"/>
        </w:rPr>
        <w:t>单位信息汇总表</w:t>
      </w:r>
    </w:p>
    <w:p w14:paraId="19A70536">
      <w:pPr>
        <w:widowControl/>
        <w:shd w:val="clear" w:color="auto" w:fill="FFFFFF"/>
        <w:spacing w:line="240" w:lineRule="exact"/>
        <w:ind w:firstLine="361" w:firstLineChars="100"/>
        <w:rPr>
          <w:rFonts w:hint="eastAsia" w:ascii="仿宋" w:hAnsi="仿宋" w:eastAsia="仿宋" w:cs="宋体"/>
          <w:b/>
          <w:bCs/>
          <w:color w:val="161616"/>
          <w:kern w:val="0"/>
          <w:sz w:val="36"/>
          <w:szCs w:val="36"/>
        </w:rPr>
      </w:pPr>
    </w:p>
    <w:p w14:paraId="6B84D499">
      <w:pPr>
        <w:widowControl/>
        <w:shd w:val="clear" w:color="auto" w:fill="FFFFFF"/>
        <w:ind w:firstLine="360" w:firstLineChars="100"/>
        <w:rPr>
          <w:rFonts w:hint="eastAsia" w:ascii="仿宋_GB2312" w:hAnsi="仿宋" w:eastAsia="仿宋_GB2312" w:cs="宋体"/>
          <w:bCs/>
          <w:color w:val="161616"/>
          <w:kern w:val="0"/>
          <w:sz w:val="36"/>
          <w:szCs w:val="36"/>
          <w:u w:val="single"/>
        </w:rPr>
      </w:pPr>
      <w:r>
        <w:rPr>
          <w:rFonts w:hint="eastAsia" w:ascii="仿宋_GB2312" w:hAnsi="仿宋" w:eastAsia="仿宋_GB2312" w:cs="宋体"/>
          <w:bCs/>
          <w:color w:val="161616"/>
          <w:kern w:val="0"/>
          <w:sz w:val="36"/>
          <w:szCs w:val="36"/>
        </w:rPr>
        <w:t xml:space="preserve">  所在设区市：</w:t>
      </w:r>
      <w:r>
        <w:rPr>
          <w:rFonts w:hint="eastAsia" w:ascii="仿宋_GB2312" w:hAnsi="仿宋" w:eastAsia="仿宋_GB2312" w:cs="宋体"/>
          <w:bCs/>
          <w:color w:val="161616"/>
          <w:kern w:val="0"/>
          <w:sz w:val="36"/>
          <w:szCs w:val="36"/>
          <w:u w:val="single"/>
        </w:rPr>
        <w:t xml:space="preserve">          </w:t>
      </w:r>
    </w:p>
    <w:tbl>
      <w:tblPr>
        <w:tblStyle w:val="10"/>
        <w:tblW w:w="0" w:type="auto"/>
        <w:tblInd w:w="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87"/>
        <w:gridCol w:w="2341"/>
        <w:gridCol w:w="2341"/>
        <w:gridCol w:w="2340"/>
        <w:gridCol w:w="2081"/>
      </w:tblGrid>
      <w:tr w14:paraId="5303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7FD87E0D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87" w:type="dxa"/>
            <w:vAlign w:val="center"/>
          </w:tcPr>
          <w:p w14:paraId="1310A9B2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41" w:type="dxa"/>
            <w:vAlign w:val="center"/>
          </w:tcPr>
          <w:p w14:paraId="3967ED34">
            <w:pPr>
              <w:spacing w:line="50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所参与的专委会/研究中心</w:t>
            </w:r>
          </w:p>
        </w:tc>
        <w:tc>
          <w:tcPr>
            <w:tcW w:w="2341" w:type="dxa"/>
            <w:vAlign w:val="center"/>
          </w:tcPr>
          <w:p w14:paraId="2FEEC88D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单位代表</w:t>
            </w:r>
          </w:p>
          <w:p w14:paraId="6DAA9BF1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姓名职务</w:t>
            </w:r>
          </w:p>
        </w:tc>
        <w:tc>
          <w:tcPr>
            <w:tcW w:w="2340" w:type="dxa"/>
            <w:vAlign w:val="center"/>
          </w:tcPr>
          <w:p w14:paraId="218EB915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联络员</w:t>
            </w:r>
          </w:p>
          <w:p w14:paraId="62311B14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姓名职务</w:t>
            </w:r>
          </w:p>
        </w:tc>
        <w:tc>
          <w:tcPr>
            <w:tcW w:w="2081" w:type="dxa"/>
            <w:vAlign w:val="center"/>
          </w:tcPr>
          <w:p w14:paraId="3C8C8342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联络员</w:t>
            </w:r>
          </w:p>
          <w:p w14:paraId="16401651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电话号码</w:t>
            </w:r>
          </w:p>
        </w:tc>
      </w:tr>
      <w:tr w14:paraId="7772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1527FED4"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87" w:type="dxa"/>
          </w:tcPr>
          <w:p w14:paraId="1C6506E0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41" w:type="dxa"/>
          </w:tcPr>
          <w:p w14:paraId="26CC95BF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41" w:type="dxa"/>
          </w:tcPr>
          <w:p w14:paraId="5D2E77A5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99211AA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09CF7B1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FF3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B5229FB">
            <w:pPr>
              <w:jc w:val="center"/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  <w:t>2</w:t>
            </w:r>
          </w:p>
        </w:tc>
        <w:tc>
          <w:tcPr>
            <w:tcW w:w="3587" w:type="dxa"/>
          </w:tcPr>
          <w:p w14:paraId="46B8669F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48C93AFF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0E4DC0E8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4027D646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57BF08FC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  <w:tr w14:paraId="757D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2F1A63A6">
            <w:pPr>
              <w:jc w:val="center"/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  <w:t>3</w:t>
            </w:r>
          </w:p>
        </w:tc>
        <w:tc>
          <w:tcPr>
            <w:tcW w:w="3587" w:type="dxa"/>
          </w:tcPr>
          <w:p w14:paraId="38ABAB6B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40AC14CB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5CBB0C61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12947F14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187A869A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  <w:tr w14:paraId="52A1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7495C7D3">
            <w:pPr>
              <w:jc w:val="center"/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  <w:t>4</w:t>
            </w:r>
          </w:p>
        </w:tc>
        <w:tc>
          <w:tcPr>
            <w:tcW w:w="3587" w:type="dxa"/>
          </w:tcPr>
          <w:p w14:paraId="1ED39D1C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467CCC6C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2D5B02D3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38504895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7987AF8F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  <w:tr w14:paraId="1B2C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4F5E8E22">
            <w:pPr>
              <w:jc w:val="center"/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161616"/>
                <w:kern w:val="0"/>
                <w:sz w:val="32"/>
                <w:szCs w:val="32"/>
              </w:rPr>
              <w:t>5</w:t>
            </w:r>
          </w:p>
        </w:tc>
        <w:tc>
          <w:tcPr>
            <w:tcW w:w="3587" w:type="dxa"/>
          </w:tcPr>
          <w:p w14:paraId="5AFF37A5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3BEBEB1C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7F00B172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7D9D5FA9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1E7139E8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  <w:tr w14:paraId="26D8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01112491">
            <w:pPr>
              <w:jc w:val="center"/>
              <w:rPr>
                <w:rFonts w:hint="eastAsia" w:ascii="仿宋" w:hAnsi="仿宋" w:eastAsia="仿宋" w:cs="宋体"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3587" w:type="dxa"/>
          </w:tcPr>
          <w:p w14:paraId="09149557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21D1BEFB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5BD549E5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5344665D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2443971E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  <w:tr w14:paraId="1E05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3BD561ED">
            <w:pPr>
              <w:jc w:val="center"/>
              <w:rPr>
                <w:rFonts w:hint="eastAsia" w:ascii="仿宋" w:hAnsi="仿宋" w:eastAsia="仿宋" w:cs="宋体"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3587" w:type="dxa"/>
          </w:tcPr>
          <w:p w14:paraId="04318896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374A0E4B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1" w:type="dxa"/>
          </w:tcPr>
          <w:p w14:paraId="16E122A3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340" w:type="dxa"/>
          </w:tcPr>
          <w:p w14:paraId="2B28E80B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  <w:tc>
          <w:tcPr>
            <w:tcW w:w="2081" w:type="dxa"/>
          </w:tcPr>
          <w:p w14:paraId="044B8A88">
            <w:pPr>
              <w:jc w:val="center"/>
              <w:rPr>
                <w:rFonts w:hint="eastAsia" w:ascii="仿宋" w:hAnsi="仿宋" w:eastAsia="仿宋" w:cs="宋体"/>
                <w:b/>
                <w:bCs/>
                <w:color w:val="161616"/>
                <w:kern w:val="0"/>
                <w:sz w:val="36"/>
                <w:szCs w:val="36"/>
              </w:rPr>
            </w:pPr>
          </w:p>
        </w:tc>
      </w:tr>
    </w:tbl>
    <w:p w14:paraId="6EE337A9">
      <w:pPr>
        <w:spacing w:line="560" w:lineRule="exact"/>
        <w:ind w:firstLine="64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（备注：请各设区市汇总本地区联盟成员单位信息后统一报送）</w:t>
      </w:r>
    </w:p>
    <w:p w14:paraId="0E6E4605">
      <w:pPr>
        <w:widowControl/>
        <w:jc w:val="left"/>
        <w:rPr>
          <w:rFonts w:hint="eastAsia" w:ascii="仿宋_GB2312" w:hAnsi="华文中宋" w:eastAsia="仿宋_GB2312"/>
          <w:bCs/>
          <w:sz w:val="32"/>
          <w:szCs w:val="32"/>
        </w:rPr>
      </w:pPr>
    </w:p>
    <w:p w14:paraId="055D4F11">
      <w:pPr>
        <w:widowControl/>
        <w:jc w:val="left"/>
        <w:rPr>
          <w:rFonts w:hint="eastAsia" w:ascii="仿宋_GB2312" w:hAnsi="华文中宋" w:eastAsia="仿宋_GB2312"/>
          <w:bCs/>
          <w:sz w:val="32"/>
          <w:szCs w:val="32"/>
        </w:rPr>
      </w:pPr>
    </w:p>
    <w:p w14:paraId="5B192100">
      <w:pPr>
        <w:widowControl/>
        <w:jc w:val="left"/>
        <w:rPr>
          <w:rFonts w:hint="eastAsia" w:ascii="仿宋_GB2312" w:hAnsi="华文中宋" w:eastAsia="仿宋_GB2312"/>
          <w:bCs/>
          <w:sz w:val="32"/>
          <w:szCs w:val="32"/>
        </w:rPr>
        <w:sectPr>
          <w:pgSz w:w="16838" w:h="11906" w:orient="landscape"/>
          <w:pgMar w:top="1416" w:right="1418" w:bottom="1560" w:left="113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ascii="仿宋_GB2312" w:hAnsi="华文中宋" w:eastAsia="仿宋_GB2312"/>
          <w:bCs/>
          <w:sz w:val="32"/>
          <w:szCs w:val="32"/>
        </w:rPr>
        <w:br w:type="page"/>
      </w:r>
    </w:p>
    <w:p w14:paraId="0CE1E524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 w14:paraId="40B1F273">
      <w:pPr>
        <w:spacing w:line="200" w:lineRule="exact"/>
        <w:jc w:val="left"/>
        <w:rPr>
          <w:rFonts w:hint="eastAsia" w:ascii="仿宋_GB2312" w:hAnsi="华文中宋" w:eastAsia="仿宋_GB2312"/>
          <w:bCs/>
          <w:sz w:val="36"/>
          <w:szCs w:val="36"/>
        </w:rPr>
      </w:pPr>
    </w:p>
    <w:p w14:paraId="3109EC01"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“人工智能+教育”产学研联盟建设方案</w:t>
      </w:r>
    </w:p>
    <w:p w14:paraId="335DC562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深入贯彻《浙江省“人工智能”行动计划》，推进我省整合和协调人工智能教育产业资源，发挥政府、学校、企业等多方优势，助力实施我省人工智能赋能助力教育教学改革，构建人工智能赋能教育高质量发展、教育行业应用反哺人工智能产业发展的</w:t>
      </w:r>
      <w:bookmarkStart w:id="1" w:name="_Hlk176932240"/>
      <w:r>
        <w:rPr>
          <w:rFonts w:hint="eastAsia" w:ascii="仿宋_GB2312" w:hAnsi="黑体" w:eastAsia="仿宋_GB2312"/>
          <w:sz w:val="32"/>
          <w:szCs w:val="32"/>
        </w:rPr>
        <w:t>双向奔赴、互促共进的良性格局</w:t>
      </w:r>
      <w:bookmarkEnd w:id="1"/>
      <w:r>
        <w:rPr>
          <w:rFonts w:hint="eastAsia" w:ascii="仿宋_GB2312" w:hAnsi="黑体" w:eastAsia="仿宋_GB2312"/>
          <w:sz w:val="32"/>
          <w:szCs w:val="32"/>
        </w:rPr>
        <w:t>，结合教育大模型研究应用实验室、人工智能教育实验室建设情况，成立浙江省“人工智能+教育”产学研联盟（以下简称联盟），特制定如下建设方案。</w:t>
      </w:r>
    </w:p>
    <w:p w14:paraId="4831BE1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 w14:paraId="6B0187B4"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以“人工智能+教育</w:t>
      </w:r>
      <w:r>
        <w:rPr>
          <w:rFonts w:ascii="仿宋_GB2312" w:hAnsi="黑体" w:eastAsia="仿宋_GB2312"/>
          <w:sz w:val="32"/>
          <w:szCs w:val="32"/>
        </w:rPr>
        <w:t>”</w:t>
      </w:r>
      <w:r>
        <w:rPr>
          <w:rFonts w:hint="eastAsia" w:ascii="仿宋_GB2312" w:hAnsi="黑体" w:eastAsia="仿宋_GB2312"/>
          <w:sz w:val="32"/>
          <w:szCs w:val="32"/>
        </w:rPr>
        <w:t>的技术创新需求为导向，以形成人工智能教育产业核心竞争力为目标，以企业和用户为主体，围绕人工智能教育产业技术创新链，运用市场机制集聚创新资源，实现企业、高校、科研机构等单位有效结合，共同突破人工智能教育产业发展的技术瓶颈，统筹规划、开放共享教育系统算力基础设施，研究开发学科大模型、场景模型、智能体开发应用平台，打造推广一批有效适切的人工智能教育应用，赋能助力浙江省教育教学改革，做大做强做优浙江数字教育产业。</w:t>
      </w:r>
    </w:p>
    <w:p w14:paraId="0CC25C44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组建原则</w:t>
      </w:r>
    </w:p>
    <w:p w14:paraId="2721B885">
      <w:pPr>
        <w:snapToGrid w:val="0"/>
        <w:spacing w:line="560" w:lineRule="exact"/>
        <w:ind w:firstLine="643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（一）坚持自愿参与原则。</w:t>
      </w:r>
      <w:r>
        <w:rPr>
          <w:rFonts w:hint="eastAsia" w:ascii="仿宋_GB2312" w:hAnsi="黑体" w:eastAsia="仿宋_GB2312"/>
          <w:sz w:val="32"/>
          <w:szCs w:val="32"/>
        </w:rPr>
        <w:t>联盟坚持“自愿、自律、互助、互赢”的原则，充分发挥各自的优势，凝聚共识，协同创新，分享集体智慧和产业创新成果，实现互促共进，共同发展。</w:t>
      </w:r>
    </w:p>
    <w:p w14:paraId="1D5942F5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（二）遵循市场经济规则。</w:t>
      </w:r>
      <w:r>
        <w:rPr>
          <w:rFonts w:hint="eastAsia" w:ascii="仿宋" w:hAnsi="仿宋" w:eastAsia="仿宋"/>
          <w:sz w:val="32"/>
          <w:szCs w:val="32"/>
        </w:rPr>
        <w:t>立足于“人工智能+教育”创新发展的内在要求和合作各方的共同利益，通过平等协商，建立有法律效力的联盟契约，对联盟成员形成有效的行为约束和利益保护。</w:t>
      </w:r>
    </w:p>
    <w:p w14:paraId="77705717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（三）满足产业发展需求。</w:t>
      </w:r>
      <w:r>
        <w:rPr>
          <w:rFonts w:hint="eastAsia" w:ascii="仿宋" w:hAnsi="仿宋" w:eastAsia="仿宋"/>
          <w:sz w:val="32"/>
          <w:szCs w:val="32"/>
        </w:rPr>
        <w:t>要有利于掌握人工智能教育领域核心技术和自主知识产权，有利于引导创新要素向人工智能教育企业集聚，有利于形成人工智能教育产业技术创新链，有利于促进区域数字教育产业发展。</w:t>
      </w:r>
    </w:p>
    <w:p w14:paraId="2342D321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三、主要任务</w:t>
      </w:r>
    </w:p>
    <w:p w14:paraId="2A4416F9"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联盟探索在国家政策引导下建立以企业和教育用户为主体、市场为导向、产学研用结合的产业技术创新机制。加强合作研发，以获得人工智能教育服务共性和关键技术问题的突破，成为产学研用结合的纽带和载体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技术创新资源的集成和共享主渠道，成为人工智能教育服务战略、前沿、共性、关键技术的持续创新平台。</w:t>
      </w:r>
    </w:p>
    <w:p w14:paraId="19013681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（一）技术创新与应用。</w:t>
      </w:r>
      <w:r>
        <w:rPr>
          <w:rFonts w:hint="eastAsia" w:ascii="仿宋" w:hAnsi="仿宋" w:eastAsia="仿宋"/>
          <w:sz w:val="32"/>
          <w:szCs w:val="32"/>
        </w:rPr>
        <w:t>围绕浙江教育大模型研究应用实验室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人工智能教育实验室</w:t>
      </w:r>
      <w:r>
        <w:rPr>
          <w:rFonts w:hint="eastAsia" w:ascii="仿宋" w:hAnsi="仿宋" w:eastAsia="仿宋"/>
          <w:sz w:val="32"/>
          <w:szCs w:val="32"/>
        </w:rPr>
        <w:t>的任务目标、学校和师生的真实需求，课题引领、开展实践性研究，开发适用于教育领域的人工智能新技术、新产品，推动这些技术的应用与普及，提高教育质量和效率。</w:t>
      </w:r>
    </w:p>
    <w:p w14:paraId="648A575B">
      <w:pPr>
        <w:snapToGrid w:val="0"/>
        <w:spacing w:line="560" w:lineRule="exact"/>
        <w:ind w:firstLine="643" w:firstLineChars="200"/>
        <w:rPr>
          <w:rFonts w:hint="eastAsia" w:ascii="楷体_GB2312" w:hAnsi="仿宋" w:eastAsia="楷体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（二）标准制定。</w:t>
      </w:r>
      <w:r>
        <w:rPr>
          <w:rFonts w:hint="eastAsia" w:ascii="仿宋" w:hAnsi="仿宋" w:eastAsia="仿宋"/>
          <w:sz w:val="32"/>
          <w:szCs w:val="32"/>
        </w:rPr>
        <w:t>组织联盟成员积极参与行业、国家和国际标准化工作，研究并制订人工教育产业相关技术标准，协助政府制定相关的行业规范、技术标准和产品标准，并协调贯彻实施，确保技术应用的安全性、可靠性和有效性。</w:t>
      </w:r>
    </w:p>
    <w:p w14:paraId="1A3D043F">
      <w:pPr>
        <w:snapToGrid w:val="0"/>
        <w:spacing w:line="560" w:lineRule="exact"/>
        <w:ind w:firstLine="643" w:firstLineChars="200"/>
        <w:rPr>
          <w:rFonts w:hint="eastAsia" w:ascii="楷体_GB2312" w:hAnsi="仿宋" w:eastAsia="楷体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（三）平台建设。</w:t>
      </w:r>
      <w:r>
        <w:rPr>
          <w:rFonts w:hint="eastAsia" w:ascii="仿宋" w:hAnsi="仿宋" w:eastAsia="仿宋"/>
          <w:sz w:val="32"/>
          <w:szCs w:val="32"/>
        </w:rPr>
        <w:t>建立算力资源管理调度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智能体开发应用等共享平台，通过课程开发、教材编写、资源和应用共享、实验室建设等具体项目，促进成员间的信息交流、资源共享和技术协作，降低研发成本，加快技术转化速度。</w:t>
      </w:r>
    </w:p>
    <w:p w14:paraId="6AF1F7B7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（四）活动组织。</w:t>
      </w:r>
      <w:r>
        <w:rPr>
          <w:rFonts w:hint="eastAsia" w:ascii="仿宋" w:hAnsi="仿宋" w:eastAsia="仿宋"/>
          <w:sz w:val="32"/>
          <w:szCs w:val="32"/>
        </w:rPr>
        <w:t>围绕人工智能教育领域新技术、新产品、新成果以及新模式，组织联盟成员单位通过各类论坛、讲座、考察、研讨、业务对接等活动，开展政策法规解读与业务交流合作，提升服务水平，加强与中小学校和企事业单位合作，促进人工智能教育领域新技术应用和新产品推广。</w:t>
      </w:r>
    </w:p>
    <w:p w14:paraId="07222ECA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（五）政策建议。</w:t>
      </w:r>
      <w:r>
        <w:rPr>
          <w:rFonts w:hint="eastAsia" w:ascii="仿宋" w:hAnsi="仿宋" w:eastAsia="仿宋"/>
          <w:sz w:val="32"/>
          <w:szCs w:val="32"/>
        </w:rPr>
        <w:t>向政府相关部门提供关于人工智能教育发展的政策建议，争取有利的政策环境和支持措施。依托并发挥联盟成员单位作用,接受政府委托编制人工智能教育相关发展规划、评估促进人工智能教育应用，支持和指导联盟制定产业发展路线图，协助应对行业发展壁垒问题。</w:t>
      </w:r>
    </w:p>
    <w:p w14:paraId="201B0164">
      <w:pPr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（六）国际合作。</w:t>
      </w:r>
      <w:r>
        <w:rPr>
          <w:rFonts w:hint="eastAsia" w:ascii="仿宋" w:hAnsi="仿宋" w:eastAsia="仿宋"/>
          <w:sz w:val="32"/>
          <w:szCs w:val="32"/>
        </w:rPr>
        <w:t>加强与国际同行的交流合作，引进国外先进技术和管理经验，同时推广省内优秀成果，提升我省在全球人工智能教育领域的影响力。</w:t>
      </w:r>
    </w:p>
    <w:p w14:paraId="4890A45B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、组织形态</w:t>
      </w:r>
    </w:p>
    <w:p w14:paraId="17722441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由浙江省教育技术中心、浙江大学、浙江师范大学、科大讯飞股份有限公司、阿里云计算有限公司等十六家高校和企业为联盟的发起单位；联盟将吸纳其它学校、大模型以及教育应用开发企业为成员单位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 w14:paraId="053171B1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本联盟组织结构：联盟成立理事会、技术委员会、学术委员会、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伦理安全委员会、</w:t>
      </w:r>
      <w:r>
        <w:rPr>
          <w:rFonts w:hint="eastAsia" w:ascii="仿宋_GB2312" w:eastAsia="仿宋_GB2312"/>
          <w:sz w:val="32"/>
          <w:szCs w:val="32"/>
        </w:rPr>
        <w:t>秘书处、大模型/元宇宙/机器人等专委会和AI应用评估/应用推广/咨询服务等中心。</w:t>
      </w:r>
    </w:p>
    <w:p w14:paraId="3ADEDD5A">
      <w:pPr>
        <w:spacing w:line="6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35560</wp:posOffset>
            </wp:positionV>
            <wp:extent cx="5269865" cy="2738755"/>
            <wp:effectExtent l="0" t="0" r="317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3AB59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联盟理事会为联盟的最高决策机构；技术委员会为联盟的技术决策咨询机构；学术委员会为联盟的学术研究咨询机构;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伦理安全委员会为联盟的人工智能伦理安全研究咨询机构；</w:t>
      </w:r>
      <w:r>
        <w:rPr>
          <w:rFonts w:hint="eastAsia" w:ascii="仿宋_GB2312" w:eastAsia="仿宋_GB2312"/>
          <w:sz w:val="32"/>
          <w:szCs w:val="32"/>
        </w:rPr>
        <w:t>秘书处为联盟理事会执行机构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根据工作需要，组建相应的专委会和研究中心。</w:t>
      </w:r>
    </w:p>
    <w:p w14:paraId="72F9E009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联盟理事会由联盟成员单位主要领导组成，设理事长一名。首任理事长建议由联盟发起组织单位负责人担任，联盟各单位一名主要领导担任理事会成员。</w:t>
      </w:r>
    </w:p>
    <w:p w14:paraId="7F1ADBAA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联盟技术委员会由</w:t>
      </w:r>
      <w:bookmarkStart w:id="2" w:name="_Hlk179818999"/>
      <w:r>
        <w:rPr>
          <w:rFonts w:hint="eastAsia" w:ascii="仿宋_GB2312" w:eastAsia="仿宋_GB2312"/>
          <w:sz w:val="32"/>
          <w:szCs w:val="32"/>
        </w:rPr>
        <w:t>理事会聘任</w:t>
      </w:r>
      <w:bookmarkEnd w:id="2"/>
      <w:r>
        <w:rPr>
          <w:rFonts w:hint="eastAsia" w:ascii="仿宋_GB2312" w:eastAsia="仿宋_GB2312"/>
          <w:sz w:val="32"/>
          <w:szCs w:val="32"/>
        </w:rPr>
        <w:t>，是联盟的技术决策咨询机构。</w:t>
      </w:r>
      <w:bookmarkStart w:id="3" w:name="_Hlk179819054"/>
      <w:r>
        <w:rPr>
          <w:rFonts w:hint="eastAsia" w:ascii="仿宋_GB2312" w:eastAsia="仿宋_GB2312"/>
          <w:sz w:val="32"/>
          <w:szCs w:val="32"/>
        </w:rPr>
        <w:t>由行业内、外知名的工程技术专家、企业家、政策研究专家和学者组成。首任联盟技术委员主任建议由联盟发起单位出任，各联盟成员单位派出技术领导担任成员。</w:t>
      </w:r>
    </w:p>
    <w:bookmarkEnd w:id="3"/>
    <w:p w14:paraId="31B3AFF3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盟学术委员会由理事会聘任，是联盟的学术研究咨询机构。由行业内、外知名的教育技术专家、高校和中小学教育名家、政策研究专家和学者组成。首任联盟学术委员主任建议由联盟发起单位出任，各联盟成员单位派出学术领导担任成员。</w:t>
      </w:r>
    </w:p>
    <w:p w14:paraId="76310A07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联盟伦理安全委员会</w:t>
      </w:r>
      <w:r>
        <w:rPr>
          <w:rFonts w:hint="eastAsia" w:ascii="仿宋_GB2312" w:eastAsia="仿宋_GB2312"/>
          <w:sz w:val="32"/>
          <w:szCs w:val="32"/>
        </w:rPr>
        <w:t>由理事会聘任，是联盟的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人工智能伦理安全</w:t>
      </w:r>
      <w:r>
        <w:rPr>
          <w:rFonts w:hint="eastAsia" w:ascii="仿宋_GB2312" w:eastAsia="仿宋_GB2312"/>
          <w:sz w:val="32"/>
          <w:szCs w:val="32"/>
        </w:rPr>
        <w:t>研究咨询机构。由行业内、外知名的教育技术专家、高校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人工智能伦理</w:t>
      </w:r>
      <w:r>
        <w:rPr>
          <w:rFonts w:hint="eastAsia" w:ascii="仿宋_GB2312" w:eastAsia="仿宋_GB2312"/>
          <w:sz w:val="32"/>
          <w:szCs w:val="32"/>
        </w:rPr>
        <w:t>研究专家和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数据安全专家</w:t>
      </w:r>
      <w:r>
        <w:rPr>
          <w:rFonts w:hint="eastAsia" w:ascii="仿宋_GB2312" w:eastAsia="仿宋_GB2312"/>
          <w:sz w:val="32"/>
          <w:szCs w:val="32"/>
        </w:rPr>
        <w:t>组成。首任联盟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伦理安全委员</w:t>
      </w:r>
      <w:r>
        <w:rPr>
          <w:rFonts w:hint="eastAsia" w:ascii="仿宋_GB2312" w:eastAsia="仿宋_GB2312"/>
          <w:sz w:val="32"/>
          <w:szCs w:val="32"/>
        </w:rPr>
        <w:t>主任建议由联盟发起单位出任，各联盟成员单位派出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网络与数据安全工作的主管</w:t>
      </w:r>
      <w:r>
        <w:rPr>
          <w:rFonts w:hint="eastAsia" w:ascii="仿宋_GB2312" w:eastAsia="仿宋_GB2312"/>
          <w:sz w:val="32"/>
          <w:szCs w:val="32"/>
        </w:rPr>
        <w:t>领导担任成员。</w:t>
      </w:r>
    </w:p>
    <w:p w14:paraId="4F98B55C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秘书处是理事会常设的执行机构，直接受理事长领导，负责联盟日常事务、项目和活动的协调、管理工作。秘书处设秘书长1名，副秘书长5名，实行秘书长负责制。秘书长和副秘书长由各联盟理事成员单位提名，由理事会选举和聘任。秘书长向理事会负责，主持联盟日常工作，负责联盟学术活动及年度计划内的项目合作等事项审批。首任秘书长建议由联盟发起组织单位出任，各联盟成员单位派出一名主要领导担任副秘书长。</w:t>
      </w:r>
    </w:p>
    <w:p w14:paraId="59CCC6AF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专委会和研究中心是联盟内部的组织，受秘书处领导，以促进特定领域的发展，如教育专用大模型、元宇宙、机器人等。</w:t>
      </w:r>
    </w:p>
    <w:p w14:paraId="12C4B434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五、联盟成员</w:t>
      </w:r>
    </w:p>
    <w:p w14:paraId="7ABB3E53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本联盟吸纳具备</w:t>
      </w:r>
      <w:r>
        <w:rPr>
          <w:rFonts w:hint="eastAsia" w:ascii="仿宋_GB2312" w:eastAsia="仿宋_GB2312"/>
          <w:sz w:val="32"/>
          <w:szCs w:val="32"/>
        </w:rPr>
        <w:t>独立法人资格、积极从事人工智能教育技术研究及产品开发的企业、高校、研究机构、人工智能教育应用实践探索的各级各类学校为联盟成员。享受联盟成员权利，承担联盟成员义务。各联盟成员是独立的法人实体，对联盟的债务不承担任何责任，联盟对联盟成员的债务亦不负连带责任。</w:t>
      </w:r>
    </w:p>
    <w:p w14:paraId="5B4E2D34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六、运行模式</w:t>
      </w:r>
    </w:p>
    <w:p w14:paraId="4631BA17">
      <w:pPr>
        <w:spacing w:line="6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盟充分发挥专委会和研究中心主体作用，以课题为引领、项目为纽带、活动为抓手促联盟发展；通过技术创新，实行资源共享，成果共享，优势互补，并以多样化与多层次的合作形式明确必要的责、权、利。每年由理事会统一组织召开理事会议，按照联席会议制度决定重要事宜，包括不限于审批联盟年度工作计划、与各专委会和研究中心签订年度研究任务。秘书处负责年度各类活动的规划、组织、实施与宣传，统筹协调、组织督查专委会和研究中心年度任务进展；联盟运行经费来源于联盟成员、企业赞助以及其他合法收入等，主要用于课题研究和各类活动费用支出。</w:t>
      </w:r>
    </w:p>
    <w:p w14:paraId="5A056EE3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七、筹建程序</w:t>
      </w:r>
    </w:p>
    <w:p w14:paraId="61E24BA4"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4年9月：起草联盟建设方案，征求联盟建设方案意见、联盟章程以及配套的联盟运作和发展规章制度。</w:t>
      </w:r>
    </w:p>
    <w:p w14:paraId="0598A71F"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4年1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月：组织联盟合作签约仪式，发展联盟会员。</w:t>
      </w:r>
    </w:p>
    <w:p w14:paraId="443E398E">
      <w:pPr>
        <w:snapToGrid w:val="0"/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2024年11月：</w:t>
      </w:r>
      <w:r>
        <w:rPr>
          <w:rFonts w:ascii="仿宋_GB2312" w:hAnsi="黑体" w:eastAsia="仿宋_GB2312"/>
          <w:sz w:val="32"/>
          <w:szCs w:val="32"/>
        </w:rPr>
        <w:t>召开第一次联盟成员大会暨联盟成立大会,签署</w:t>
      </w:r>
      <w:r>
        <w:rPr>
          <w:rFonts w:hint="eastAsia" w:ascii="仿宋_GB2312" w:hAnsi="黑体" w:eastAsia="仿宋_GB2312"/>
          <w:sz w:val="32"/>
          <w:szCs w:val="32"/>
        </w:rPr>
        <w:t>联盟章程，推举联盟理事会、技术委员会、学术委员会、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伦理安全委员会、</w:t>
      </w:r>
      <w:r>
        <w:rPr>
          <w:rFonts w:hint="eastAsia" w:ascii="仿宋_GB2312" w:hAnsi="黑体" w:eastAsia="仿宋_GB2312"/>
          <w:sz w:val="32"/>
          <w:szCs w:val="32"/>
        </w:rPr>
        <w:t>专委会和研究中心，理事长、委员会主任、秘书长、副秘书长、专委会和研究中心主任，宣告联盟成立。审议2025年联盟工作计划、与专委会和研究中心签署2025年任务书。</w:t>
      </w:r>
    </w:p>
    <w:p w14:paraId="797CC317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5496">
    <w:pPr>
      <w:pStyle w:val="7"/>
      <w:jc w:val="center"/>
      <w:rPr>
        <w:rFonts w:hint="eastAsia"/>
      </w:rPr>
    </w:pPr>
  </w:p>
  <w:p w14:paraId="245D5AA6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lODY5MTAzOTQ2MmFiZWYxOTI3YTFkMDU2ODAyZDIifQ=="/>
    <w:docVar w:name="KSO_WPS_MARK_KEY" w:val="7b09b82a-b4fb-4719-988a-d533a08eb0aa"/>
  </w:docVars>
  <w:rsids>
    <w:rsidRoot w:val="00BD24FD"/>
    <w:rsid w:val="00010B07"/>
    <w:rsid w:val="000437DD"/>
    <w:rsid w:val="000C100E"/>
    <w:rsid w:val="00116DD6"/>
    <w:rsid w:val="001642E2"/>
    <w:rsid w:val="00166144"/>
    <w:rsid w:val="00176A46"/>
    <w:rsid w:val="00181C9C"/>
    <w:rsid w:val="001C7F97"/>
    <w:rsid w:val="002C18C7"/>
    <w:rsid w:val="00316222"/>
    <w:rsid w:val="003176C6"/>
    <w:rsid w:val="003A2151"/>
    <w:rsid w:val="003A5764"/>
    <w:rsid w:val="003B7458"/>
    <w:rsid w:val="003C0806"/>
    <w:rsid w:val="003C360E"/>
    <w:rsid w:val="003E57DC"/>
    <w:rsid w:val="00415D79"/>
    <w:rsid w:val="00445343"/>
    <w:rsid w:val="00454E1C"/>
    <w:rsid w:val="0048268F"/>
    <w:rsid w:val="004E6362"/>
    <w:rsid w:val="004F21B2"/>
    <w:rsid w:val="004F7AF8"/>
    <w:rsid w:val="005464E2"/>
    <w:rsid w:val="00560038"/>
    <w:rsid w:val="0057665A"/>
    <w:rsid w:val="00582D60"/>
    <w:rsid w:val="005F2946"/>
    <w:rsid w:val="0060035F"/>
    <w:rsid w:val="006365DB"/>
    <w:rsid w:val="006528F1"/>
    <w:rsid w:val="00673E8D"/>
    <w:rsid w:val="006935BC"/>
    <w:rsid w:val="00756992"/>
    <w:rsid w:val="007D1580"/>
    <w:rsid w:val="0080648A"/>
    <w:rsid w:val="008429CD"/>
    <w:rsid w:val="00843F59"/>
    <w:rsid w:val="008D5095"/>
    <w:rsid w:val="00955064"/>
    <w:rsid w:val="00957191"/>
    <w:rsid w:val="00964BE1"/>
    <w:rsid w:val="00966AAA"/>
    <w:rsid w:val="009A31AE"/>
    <w:rsid w:val="00A109D5"/>
    <w:rsid w:val="00A46895"/>
    <w:rsid w:val="00A75CEF"/>
    <w:rsid w:val="00A92AF3"/>
    <w:rsid w:val="00AF51CC"/>
    <w:rsid w:val="00BA48DB"/>
    <w:rsid w:val="00BB0FD2"/>
    <w:rsid w:val="00BC78D1"/>
    <w:rsid w:val="00BD24FD"/>
    <w:rsid w:val="00C33119"/>
    <w:rsid w:val="00C94E91"/>
    <w:rsid w:val="00CD185D"/>
    <w:rsid w:val="00CF233A"/>
    <w:rsid w:val="00D6036B"/>
    <w:rsid w:val="00D73332"/>
    <w:rsid w:val="00DA3693"/>
    <w:rsid w:val="00DB36F4"/>
    <w:rsid w:val="00DD03B2"/>
    <w:rsid w:val="00DF276E"/>
    <w:rsid w:val="00E109D2"/>
    <w:rsid w:val="00E17F24"/>
    <w:rsid w:val="00E20290"/>
    <w:rsid w:val="00E30176"/>
    <w:rsid w:val="00E47C94"/>
    <w:rsid w:val="00EA1293"/>
    <w:rsid w:val="00EB7B5E"/>
    <w:rsid w:val="00EE28F3"/>
    <w:rsid w:val="00F16146"/>
    <w:rsid w:val="00F253E6"/>
    <w:rsid w:val="00F95BCC"/>
    <w:rsid w:val="00FC6244"/>
    <w:rsid w:val="0147345A"/>
    <w:rsid w:val="056F6E1D"/>
    <w:rsid w:val="05DF4024"/>
    <w:rsid w:val="102F3558"/>
    <w:rsid w:val="10ED52B2"/>
    <w:rsid w:val="14DC368A"/>
    <w:rsid w:val="16893A13"/>
    <w:rsid w:val="20DE5009"/>
    <w:rsid w:val="248E2EE3"/>
    <w:rsid w:val="2DB92802"/>
    <w:rsid w:val="348D69EF"/>
    <w:rsid w:val="363A62C3"/>
    <w:rsid w:val="3AC57D18"/>
    <w:rsid w:val="3B3753CF"/>
    <w:rsid w:val="3C201000"/>
    <w:rsid w:val="3CB67063"/>
    <w:rsid w:val="41C11625"/>
    <w:rsid w:val="48CD1628"/>
    <w:rsid w:val="48F650FE"/>
    <w:rsid w:val="49C32CF5"/>
    <w:rsid w:val="4C85620F"/>
    <w:rsid w:val="51073D2A"/>
    <w:rsid w:val="532226B5"/>
    <w:rsid w:val="5C3B11B6"/>
    <w:rsid w:val="629A60E5"/>
    <w:rsid w:val="65C305FC"/>
    <w:rsid w:val="6B3A73C5"/>
    <w:rsid w:val="6E694B74"/>
    <w:rsid w:val="703E073A"/>
    <w:rsid w:val="72344443"/>
    <w:rsid w:val="7A731D81"/>
    <w:rsid w:val="7E6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1"/>
      <w:szCs w:val="31"/>
    </w:rPr>
  </w:style>
  <w:style w:type="paragraph" w:styleId="6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11"/>
    <w:link w:val="6"/>
    <w:semiHidden/>
    <w:qFormat/>
    <w:uiPriority w:val="99"/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3 字符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7">
    <w:name w:val="标题 4 字符"/>
    <w:basedOn w:val="11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5102</Words>
  <Characters>5245</Characters>
  <Lines>30</Lines>
  <Paragraphs>8</Paragraphs>
  <TotalTime>1</TotalTime>
  <ScaleCrop>false</ScaleCrop>
  <LinksUpToDate>false</LinksUpToDate>
  <CharactersWithSpaces>5485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2024-03-26T03:07:00Z</dcterms:created>
  <dc:creator>admin</dc:creator>
  <cp:lastModifiedBy>赵成华</cp:lastModifiedBy>
  <cp:lastPrinted>2024-03-26T03:08:00Z</cp:lastPrinted>
  <dcterms:modified xsi:type="dcterms:W3CDTF">2024-11-15T06:07:31Z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5595744CF93A43B48D13B1E86D4F6B6B_12</vt:lpwstr>
  </property>
</Properties>
</file>